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BDC5" w14:textId="77777777" w:rsidR="00D63FB8" w:rsidRDefault="00315C1B">
      <w:pPr>
        <w:spacing w:after="0" w:line="259" w:lineRule="auto"/>
        <w:ind w:left="45" w:firstLine="675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5812109A" wp14:editId="4813C0B5">
                <wp:extent cx="6462713" cy="1355221"/>
                <wp:effectExtent l="0" t="0" r="0" b="0"/>
                <wp:docPr id="150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713" cy="1355221"/>
                          <a:chOff x="1937900" y="3047725"/>
                          <a:chExt cx="7244259" cy="146456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37900" y="3047725"/>
                            <a:ext cx="7244259" cy="1464564"/>
                            <a:chOff x="0" y="0"/>
                            <a:chExt cx="7027121" cy="146456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3" y="7"/>
                              <a:ext cx="7026829" cy="146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D4B4A6" w14:textId="77777777" w:rsidR="00D63FB8" w:rsidRDefault="00D63FB8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19400" y="0"/>
                              <a:ext cx="1066800" cy="13426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3886198" y="1272398"/>
                              <a:ext cx="33886" cy="123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203070" w14:textId="77777777" w:rsidR="00D63FB8" w:rsidRDefault="00315C1B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91440" y="1240795"/>
                              <a:ext cx="1764875" cy="122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347571" w14:textId="77777777" w:rsidR="00D63FB8" w:rsidRDefault="00315C1B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U n l o c k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 n g   P o t e n t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 a l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5416294" y="1240795"/>
                              <a:ext cx="1610827" cy="1227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031DE5" w14:textId="77777777" w:rsidR="00D63FB8" w:rsidRDefault="00315C1B">
                                <w:pPr>
                                  <w:spacing w:after="160" w:line="258" w:lineRule="auto"/>
                                  <w:ind w:left="0" w:firstLine="0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R e l e a s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 n g    D e s t </w:t>
                                </w:r>
                                <w:proofErr w:type="spellStart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17365D"/>
                                    <w:sz w:val="16"/>
                                  </w:rPr>
                                  <w:t xml:space="preserve"> n y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Freeform 7"/>
                          <wps:cNvSpPr/>
                          <wps:spPr>
                            <a:xfrm>
                              <a:off x="0" y="1464564"/>
                              <a:ext cx="673455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34556" h="120000" extrusionOk="0">
                                  <a:moveTo>
                                    <a:pt x="0" y="0"/>
                                  </a:moveTo>
                                  <a:lnTo>
                                    <a:pt x="6734556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62713" cy="1355221"/>
                <wp:effectExtent b="0" l="0" r="0" t="0"/>
                <wp:docPr id="150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2713" cy="13552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4"/>
          <w:szCs w:val="24"/>
        </w:rPr>
        <w:t xml:space="preserve"> </w:t>
      </w:r>
    </w:p>
    <w:p w14:paraId="5E7EE962" w14:textId="77777777" w:rsidR="00D63FB8" w:rsidRDefault="00315C1B">
      <w:pPr>
        <w:spacing w:after="0" w:line="259" w:lineRule="auto"/>
        <w:ind w:left="59" w:firstLine="0"/>
        <w:jc w:val="center"/>
      </w:pPr>
      <w:r>
        <w:rPr>
          <w:b/>
          <w:sz w:val="24"/>
          <w:szCs w:val="24"/>
        </w:rPr>
        <w:t xml:space="preserve"> </w:t>
      </w:r>
    </w:p>
    <w:p w14:paraId="45CC44FE" w14:textId="77777777" w:rsidR="00D63FB8" w:rsidRDefault="00315C1B">
      <w:pPr>
        <w:spacing w:after="0" w:line="259" w:lineRule="auto"/>
        <w:ind w:left="0" w:right="1" w:firstLine="720"/>
        <w:jc w:val="center"/>
        <w:rPr>
          <w:color w:val="1C4587"/>
          <w:sz w:val="26"/>
          <w:szCs w:val="26"/>
        </w:rPr>
      </w:pPr>
      <w:r>
        <w:rPr>
          <w:b/>
          <w:color w:val="1C4587"/>
          <w:sz w:val="30"/>
          <w:szCs w:val="30"/>
        </w:rPr>
        <w:t>IMPACT MENTORING NON-PROFIT INTRODUCTION</w:t>
      </w:r>
      <w:r>
        <w:rPr>
          <w:color w:val="1C4587"/>
          <w:sz w:val="26"/>
          <w:szCs w:val="26"/>
        </w:rPr>
        <w:t xml:space="preserve"> </w:t>
      </w:r>
    </w:p>
    <w:p w14:paraId="487FAFCC" w14:textId="77777777" w:rsidR="00D63FB8" w:rsidRDefault="00315C1B">
      <w:pPr>
        <w:spacing w:after="0" w:line="259" w:lineRule="auto"/>
        <w:ind w:left="0" w:firstLine="0"/>
      </w:pPr>
      <w:r>
        <w:rPr>
          <w:sz w:val="21"/>
          <w:szCs w:val="21"/>
        </w:rPr>
        <w:t xml:space="preserve"> </w:t>
      </w:r>
      <w:r>
        <w:t xml:space="preserve"> </w:t>
      </w:r>
    </w:p>
    <w:p w14:paraId="6587F1AF" w14:textId="77777777" w:rsidR="00D63FB8" w:rsidRDefault="00D63FB8">
      <w:pPr>
        <w:spacing w:after="0" w:line="259" w:lineRule="auto"/>
        <w:ind w:left="0" w:firstLine="0"/>
      </w:pPr>
    </w:p>
    <w:p w14:paraId="2B4FB8D7" w14:textId="77777777" w:rsidR="00D63FB8" w:rsidRDefault="00315C1B">
      <w:pPr>
        <w:spacing w:after="0" w:line="259" w:lineRule="auto"/>
        <w:ind w:left="715"/>
        <w:rPr>
          <w:b/>
          <w:color w:val="1C4587"/>
        </w:rPr>
      </w:pPr>
      <w:r>
        <w:rPr>
          <w:b/>
          <w:color w:val="1C4587"/>
          <w:u w:val="single"/>
        </w:rPr>
        <w:t>Organizational History</w:t>
      </w:r>
      <w:r>
        <w:rPr>
          <w:b/>
          <w:color w:val="1C4587"/>
        </w:rPr>
        <w:t xml:space="preserve"> </w:t>
      </w:r>
    </w:p>
    <w:p w14:paraId="2C72EA05" w14:textId="77777777" w:rsidR="00D63FB8" w:rsidRDefault="00315C1B">
      <w:pPr>
        <w:spacing w:after="0" w:line="259" w:lineRule="auto"/>
        <w:ind w:left="0" w:firstLine="0"/>
      </w:pPr>
      <w:r>
        <w:rPr>
          <w:color w:val="00007F"/>
        </w:rPr>
        <w:t xml:space="preserve"> </w:t>
      </w:r>
    </w:p>
    <w:p w14:paraId="4F889A75" w14:textId="77777777" w:rsidR="00D63FB8" w:rsidRDefault="00315C1B">
      <w:pPr>
        <w:ind w:left="715"/>
        <w:jc w:val="both"/>
      </w:pPr>
      <w:r>
        <w:t xml:space="preserve">IMPACT Mentoring Academy is in its fifteenth year of operation and is focused upon the task of mentoring Middle and   </w:t>
      </w:r>
      <w:proofErr w:type="gramStart"/>
      <w:r>
        <w:t>Senior</w:t>
      </w:r>
      <w:proofErr w:type="gramEnd"/>
      <w:r>
        <w:t xml:space="preserve"> school aged males.  It is registered with the Department of Education in Bermuda and currently has capacity for up to 30 students a</w:t>
      </w:r>
      <w:r>
        <w:t xml:space="preserve">nd we are seeking to build capacity to accommodate K-12 ages.  </w:t>
      </w:r>
    </w:p>
    <w:p w14:paraId="469A4FC6" w14:textId="77777777" w:rsidR="00D63FB8" w:rsidRDefault="00315C1B">
      <w:pPr>
        <w:spacing w:after="0" w:line="259" w:lineRule="auto"/>
        <w:ind w:left="0" w:firstLine="0"/>
        <w:jc w:val="both"/>
      </w:pPr>
      <w:r>
        <w:t xml:space="preserve"> </w:t>
      </w:r>
    </w:p>
    <w:p w14:paraId="28F32D88" w14:textId="77777777" w:rsidR="00D63FB8" w:rsidRDefault="00315C1B">
      <w:pPr>
        <w:ind w:left="715"/>
        <w:jc w:val="both"/>
      </w:pPr>
      <w:r>
        <w:t>Having started as a homeschool with four students, we have evolved into a “charter school” type operation. We have a 99% rate of college/job placement at this time for each senior school gra</w:t>
      </w:r>
      <w:r>
        <w:t xml:space="preserve">duate from our program. Our retention rate stands at about 75% over 15 years. We operate multi-grade classes where each student functions on an individualized educational plan at </w:t>
      </w:r>
      <w:proofErr w:type="gramStart"/>
      <w:r>
        <w:t>their</w:t>
      </w:r>
      <w:proofErr w:type="gramEnd"/>
      <w:r>
        <w:t xml:space="preserve"> own pace.  </w:t>
      </w:r>
    </w:p>
    <w:p w14:paraId="142682A4" w14:textId="77777777" w:rsidR="00D63FB8" w:rsidRDefault="00315C1B">
      <w:pPr>
        <w:spacing w:after="0" w:line="259" w:lineRule="auto"/>
        <w:ind w:left="720" w:firstLine="0"/>
        <w:jc w:val="both"/>
      </w:pPr>
      <w:r>
        <w:t xml:space="preserve"> </w:t>
      </w:r>
    </w:p>
    <w:p w14:paraId="246E84F4" w14:textId="77777777" w:rsidR="00D63FB8" w:rsidRDefault="00315C1B">
      <w:pPr>
        <w:ind w:left="715"/>
        <w:jc w:val="both"/>
      </w:pPr>
      <w:r>
        <w:t>It is our belief that the current situation with many you</w:t>
      </w:r>
      <w:r>
        <w:t xml:space="preserve">ng males in Bermuda (less than half entering are graduating within the public school system according to the last statistical report – the </w:t>
      </w:r>
      <w:proofErr w:type="spellStart"/>
      <w:r>
        <w:t>Mincy</w:t>
      </w:r>
      <w:proofErr w:type="spellEnd"/>
      <w:r>
        <w:t xml:space="preserve"> Study) necessitates more intense interest and deliberate </w:t>
      </w:r>
      <w:proofErr w:type="gramStart"/>
      <w:r>
        <w:t>effort</w:t>
      </w:r>
      <w:proofErr w:type="gramEnd"/>
      <w:r>
        <w:t xml:space="preserve"> toward the development of these teenagers with </w:t>
      </w:r>
      <w:r>
        <w:t xml:space="preserve">regard to life skills, community engagement and career marketability. </w:t>
      </w:r>
    </w:p>
    <w:p w14:paraId="3EEF4109" w14:textId="77777777" w:rsidR="00D63FB8" w:rsidRDefault="00315C1B">
      <w:pPr>
        <w:spacing w:after="0" w:line="259" w:lineRule="auto"/>
        <w:ind w:left="720" w:firstLine="0"/>
        <w:jc w:val="both"/>
      </w:pPr>
      <w:r>
        <w:t xml:space="preserve"> </w:t>
      </w:r>
    </w:p>
    <w:p w14:paraId="7B9EB92D" w14:textId="77777777" w:rsidR="00D63FB8" w:rsidRDefault="00315C1B">
      <w:pPr>
        <w:ind w:left="715"/>
        <w:jc w:val="both"/>
      </w:pPr>
      <w:r>
        <w:t xml:space="preserve">As a means of partnering, promoting and sustaining our endeavors, we have attained charitable status. We are catalogued within the Bermuda Government’s Registry General. (Reg. #835) </w:t>
      </w:r>
    </w:p>
    <w:p w14:paraId="1332FB6C" w14:textId="77777777" w:rsidR="00D63FB8" w:rsidRDefault="00315C1B">
      <w:pPr>
        <w:spacing w:after="0" w:line="259" w:lineRule="auto"/>
        <w:ind w:left="0" w:firstLine="0"/>
        <w:jc w:val="both"/>
      </w:pPr>
      <w:r>
        <w:t xml:space="preserve"> </w:t>
      </w:r>
    </w:p>
    <w:p w14:paraId="25E40C51" w14:textId="77777777" w:rsidR="00D63FB8" w:rsidRDefault="00315C1B">
      <w:pPr>
        <w:spacing w:after="0" w:line="259" w:lineRule="auto"/>
        <w:ind w:left="715"/>
        <w:jc w:val="both"/>
      </w:pPr>
      <w:r>
        <w:rPr>
          <w:b/>
          <w:color w:val="1C4587"/>
          <w:u w:val="single"/>
        </w:rPr>
        <w:t>Our Philosophy</w:t>
      </w:r>
      <w:r>
        <w:t xml:space="preserve"> </w:t>
      </w:r>
    </w:p>
    <w:p w14:paraId="38B94E1A" w14:textId="77777777" w:rsidR="00D63FB8" w:rsidRDefault="00315C1B">
      <w:pPr>
        <w:spacing w:after="0" w:line="259" w:lineRule="auto"/>
        <w:ind w:left="720" w:firstLine="0"/>
        <w:jc w:val="both"/>
      </w:pPr>
      <w:r>
        <w:t xml:space="preserve"> </w:t>
      </w:r>
    </w:p>
    <w:p w14:paraId="37F60AA5" w14:textId="77777777" w:rsidR="00D63FB8" w:rsidRDefault="00315C1B">
      <w:pPr>
        <w:ind w:left="715"/>
        <w:jc w:val="both"/>
      </w:pPr>
      <w:r>
        <w:t>We believe that every student is created with unique potential and has a life purpose.  Our approach to education is based upon these two beliefs. Our program has developed through research, considering data from around the world relati</w:t>
      </w:r>
      <w:r>
        <w:t xml:space="preserve">ve to the target demographic that we serve. The data has been contextualized for Bermuda. </w:t>
      </w:r>
    </w:p>
    <w:p w14:paraId="7503358D" w14:textId="77777777" w:rsidR="00D63FB8" w:rsidRDefault="00315C1B">
      <w:pPr>
        <w:spacing w:after="0" w:line="259" w:lineRule="auto"/>
        <w:ind w:left="0" w:firstLine="0"/>
        <w:jc w:val="both"/>
      </w:pPr>
      <w:r>
        <w:t xml:space="preserve"> </w:t>
      </w:r>
    </w:p>
    <w:p w14:paraId="172A6BB8" w14:textId="77777777" w:rsidR="00D63FB8" w:rsidRDefault="00315C1B">
      <w:pPr>
        <w:ind w:left="715"/>
        <w:jc w:val="both"/>
      </w:pPr>
      <w:r>
        <w:t>The premise of IMPACT Mentoring Academy is that the curriculum can and should be configured to the individual as much as possible without abandoning the academic f</w:t>
      </w:r>
      <w:r>
        <w:t xml:space="preserve">undamentals and that young men thrive when they have clearly defined boundaries, empowerment of choice and intentional guidance into manhood. </w:t>
      </w:r>
      <w:proofErr w:type="gramStart"/>
      <w:r>
        <w:t>Hence our emphasis upon mentoring relationships.</w:t>
      </w:r>
      <w:proofErr w:type="gramEnd"/>
      <w:r>
        <w:t xml:space="preserve">  </w:t>
      </w:r>
    </w:p>
    <w:p w14:paraId="5173314F" w14:textId="77777777" w:rsidR="00D63FB8" w:rsidRDefault="00315C1B">
      <w:pPr>
        <w:spacing w:after="0" w:line="259" w:lineRule="auto"/>
        <w:ind w:left="0" w:firstLine="0"/>
        <w:jc w:val="both"/>
      </w:pPr>
      <w:r>
        <w:t xml:space="preserve"> </w:t>
      </w:r>
    </w:p>
    <w:p w14:paraId="4B3777C5" w14:textId="77777777" w:rsidR="00D63FB8" w:rsidRDefault="00315C1B">
      <w:pPr>
        <w:ind w:left="715"/>
        <w:jc w:val="both"/>
      </w:pPr>
      <w:bookmarkStart w:id="0" w:name="_heading=h.gjdgxs" w:colFirst="0" w:colLast="0"/>
      <w:bookmarkEnd w:id="0"/>
      <w:r>
        <w:t xml:space="preserve">Built upon time-tested principles, our approach to education </w:t>
      </w:r>
      <w:r>
        <w:t>is holistic. It is first and foremost, character education. We have observed that a relationally rich environment with positive male mentors, tactile and expeditionary activities to facilitate integrated learning serve as a catalyst to engage, motivate and</w:t>
      </w:r>
      <w:r>
        <w:t xml:space="preserve"> advance the interest and potential resident in each young man.   </w:t>
      </w:r>
    </w:p>
    <w:p w14:paraId="29FA92C4" w14:textId="77777777" w:rsidR="00D63FB8" w:rsidRDefault="00315C1B">
      <w:pPr>
        <w:spacing w:after="0" w:line="259" w:lineRule="auto"/>
        <w:ind w:left="720" w:firstLine="0"/>
        <w:jc w:val="both"/>
      </w:pPr>
      <w:r>
        <w:t xml:space="preserve"> </w:t>
      </w:r>
    </w:p>
    <w:p w14:paraId="0CDD26A6" w14:textId="77777777" w:rsidR="00D63FB8" w:rsidRDefault="00315C1B">
      <w:pPr>
        <w:ind w:left="715"/>
        <w:jc w:val="both"/>
      </w:pPr>
      <w:r>
        <w:t xml:space="preserve">In our efforts to provide a well-rounded education we seek to network with other </w:t>
      </w:r>
      <w:proofErr w:type="gramStart"/>
      <w:r>
        <w:t>organizations which</w:t>
      </w:r>
      <w:proofErr w:type="gramEnd"/>
      <w:r>
        <w:t xml:space="preserve"> have vision and values similar to our own. If you are a part of such an organization, please make contact with us so that we may engage in dialogue about h</w:t>
      </w:r>
      <w:r>
        <w:t xml:space="preserve">ow we can help one another.   </w:t>
      </w:r>
    </w:p>
    <w:p w14:paraId="1B205FAF" w14:textId="77777777" w:rsidR="00D63FB8" w:rsidRDefault="00315C1B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14:paraId="44038AF3" w14:textId="77777777" w:rsidR="00D63FB8" w:rsidRDefault="00315C1B">
      <w:pPr>
        <w:ind w:left="715"/>
        <w:jc w:val="both"/>
      </w:pPr>
      <w:r>
        <w:t xml:space="preserve">Thank you for your interest in our academy. We hope that we can partner with you in making Bermuda a country with a secure and prosperous future. </w:t>
      </w:r>
    </w:p>
    <w:p w14:paraId="56F665F7" w14:textId="77777777" w:rsidR="00D63FB8" w:rsidRDefault="00315C1B">
      <w:pPr>
        <w:spacing w:after="0" w:line="259" w:lineRule="auto"/>
        <w:ind w:left="720" w:firstLine="0"/>
        <w:jc w:val="both"/>
      </w:pPr>
      <w:r>
        <w:t xml:space="preserve"> </w:t>
      </w:r>
    </w:p>
    <w:p w14:paraId="45B29ED4" w14:textId="77777777" w:rsidR="00315C1B" w:rsidRDefault="00315C1B">
      <w:pPr>
        <w:ind w:left="715"/>
        <w:jc w:val="both"/>
      </w:pPr>
      <w:r>
        <w:t>Very Best Regards,</w:t>
      </w:r>
    </w:p>
    <w:p w14:paraId="70840CA5" w14:textId="77777777" w:rsidR="00D63FB8" w:rsidRDefault="00315C1B">
      <w:pPr>
        <w:ind w:left="715"/>
        <w:jc w:val="both"/>
      </w:pPr>
      <w:bookmarkStart w:id="1" w:name="_GoBack"/>
      <w:bookmarkEnd w:id="1"/>
      <w:r>
        <w:t xml:space="preserve"> </w:t>
      </w:r>
    </w:p>
    <w:p w14:paraId="14E609C9" w14:textId="77777777" w:rsidR="00D63FB8" w:rsidRDefault="00315C1B">
      <w:pPr>
        <w:ind w:left="715"/>
        <w:jc w:val="both"/>
      </w:pPr>
      <w:r>
        <w:t xml:space="preserve">IMPACT Mentoring Academy </w:t>
      </w:r>
    </w:p>
    <w:sectPr w:rsidR="00D63FB8">
      <w:pgSz w:w="12240" w:h="15840"/>
      <w:pgMar w:top="360" w:right="721" w:bottom="144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3FB8"/>
    <w:rsid w:val="00315C1B"/>
    <w:rsid w:val="00D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4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4" w:line="249" w:lineRule="auto"/>
        <w:ind w:left="730" w:hanging="1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52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4" w:line="249" w:lineRule="auto"/>
        <w:ind w:left="730" w:hanging="1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52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10" Type="http://schemas.openxmlformats.org/officeDocument/2006/relationships/theme" Target="theme/theme1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LwyhB9USS/OlRUcdt5A7dfimtw==">AMUW2mVqHz3vqkiOGN+VHdeAc65XlpuG/4h+9vuG0ut5r79LTJcEhbaevCIcin8SUf/Q4aXFeMqsWwuB/NfljIlMHhAYQuJynn2b86HBpXKmw0z7sC2TINyxrdr9oGlT0UjDpIYozV9mAwXvQ++O1NbYMcPax8udBA==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Macintosh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tewhite</dc:creator>
  <cp:lastModifiedBy>Nathan Atcheson</cp:lastModifiedBy>
  <cp:revision>2</cp:revision>
  <dcterms:created xsi:type="dcterms:W3CDTF">2016-06-28T03:14:00Z</dcterms:created>
  <dcterms:modified xsi:type="dcterms:W3CDTF">2021-08-09T15:03:00Z</dcterms:modified>
</cp:coreProperties>
</file>